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0D2" w14:textId="3477D92F" w:rsidR="008C6887" w:rsidRDefault="00245ED9">
      <w:pPr>
        <w:spacing w:after="0" w:line="259" w:lineRule="auto"/>
        <w:ind w:left="0" w:right="52" w:firstLine="0"/>
        <w:jc w:val="center"/>
        <w:rPr>
          <w:b/>
        </w:rPr>
      </w:pPr>
      <w:r>
        <w:rPr>
          <w:b/>
        </w:rPr>
        <w:t xml:space="preserve">RESUMEN EJECUTIVO </w:t>
      </w:r>
    </w:p>
    <w:p w14:paraId="74D3A1DC" w14:textId="77777777" w:rsidR="000D2120" w:rsidRDefault="000D2120">
      <w:pPr>
        <w:spacing w:after="0" w:line="259" w:lineRule="auto"/>
        <w:ind w:left="0" w:right="52" w:firstLine="0"/>
        <w:jc w:val="center"/>
        <w:rPr>
          <w:b/>
        </w:rPr>
      </w:pPr>
    </w:p>
    <w:p w14:paraId="15102439" w14:textId="77777777" w:rsidR="002D395D" w:rsidRPr="002D395D" w:rsidRDefault="002D395D" w:rsidP="002D395D">
      <w:pPr>
        <w:suppressAutoHyphens/>
        <w:spacing w:after="0" w:line="360" w:lineRule="auto"/>
        <w:ind w:left="0" w:right="0" w:firstLine="0"/>
        <w:textAlignment w:val="baseline"/>
        <w:rPr>
          <w:color w:val="auto"/>
          <w:kern w:val="1"/>
          <w:szCs w:val="24"/>
          <w:lang w:eastAsia="ar-SA"/>
        </w:rPr>
      </w:pPr>
      <w:r w:rsidRPr="002D395D">
        <w:rPr>
          <w:rFonts w:eastAsia="Times New Roman"/>
          <w:bCs/>
          <w:iCs/>
          <w:color w:val="auto"/>
          <w:kern w:val="1"/>
          <w:szCs w:val="24"/>
          <w:lang w:eastAsia="ar-SA"/>
        </w:rPr>
        <w:t>De conformidad con el Plan de Trabajo 2019, se llevó a cabo la “</w:t>
      </w:r>
      <w:r w:rsidRPr="002D395D">
        <w:rPr>
          <w:rFonts w:eastAsia="Times New Roman"/>
          <w:iCs/>
          <w:color w:val="auto"/>
          <w:kern w:val="1"/>
          <w:szCs w:val="24"/>
          <w:lang w:eastAsia="ar-SA"/>
        </w:rPr>
        <w:t xml:space="preserve">Auditoría del Cumplimiento Funcional de Puestos en las Unidades Ejecutoras: BCIE, PAPS y RANC-EE”, la cual </w:t>
      </w:r>
      <w:r w:rsidRPr="002D395D">
        <w:rPr>
          <w:color w:val="auto"/>
          <w:kern w:val="1"/>
          <w:szCs w:val="24"/>
          <w:lang w:eastAsia="ar-SA"/>
        </w:rPr>
        <w:t>se efectuó a solicitud de la Gerencia General, con fundamento en las competencias que le confieren a la Auditoría Interna, la Ley General de Control Interno y las Normas Generales de Auditoría para el Sector Público, entre otras.</w:t>
      </w:r>
    </w:p>
    <w:p w14:paraId="274A5029" w14:textId="77777777" w:rsidR="002D395D" w:rsidRPr="002D395D" w:rsidRDefault="002D395D" w:rsidP="002D395D">
      <w:pPr>
        <w:suppressAutoHyphens/>
        <w:spacing w:after="0" w:line="360" w:lineRule="auto"/>
        <w:ind w:left="0" w:right="0" w:firstLine="0"/>
        <w:textAlignment w:val="baseline"/>
        <w:rPr>
          <w:rFonts w:eastAsia="Times New Roman"/>
          <w:bCs/>
          <w:iCs/>
          <w:color w:val="auto"/>
          <w:kern w:val="1"/>
          <w:szCs w:val="24"/>
          <w:lang w:eastAsia="ar-SA"/>
        </w:rPr>
      </w:pPr>
    </w:p>
    <w:p w14:paraId="68F20A3C" w14:textId="77777777" w:rsidR="002D395D" w:rsidRPr="002D395D" w:rsidRDefault="002D395D" w:rsidP="002D395D">
      <w:pPr>
        <w:widowControl w:val="0"/>
        <w:suppressAutoHyphens/>
        <w:spacing w:after="0" w:line="360" w:lineRule="auto"/>
        <w:ind w:left="0" w:right="0" w:firstLine="0"/>
        <w:textAlignment w:val="baseline"/>
        <w:rPr>
          <w:rFonts w:eastAsia="Times New Roman"/>
          <w:bCs/>
          <w:iCs/>
          <w:color w:val="auto"/>
          <w:kern w:val="1"/>
          <w:szCs w:val="24"/>
          <w:lang w:eastAsia="ar-SA" w:bidi="hi-IN"/>
        </w:rPr>
      </w:pPr>
      <w:r w:rsidRPr="002D395D">
        <w:rPr>
          <w:rFonts w:eastAsia="Times New Roman"/>
          <w:bCs/>
          <w:iCs/>
          <w:color w:val="auto"/>
          <w:kern w:val="1"/>
          <w:szCs w:val="24"/>
          <w:lang w:eastAsia="ar-SA" w:bidi="hi-IN"/>
        </w:rPr>
        <w:t>Para esta auditoría se tomó en consideración la importancia que tiene el definir y asignar adecuadamente los puestos del personal en la Unidades Ejecutoras (UE), con el fin de poder cumplir oportunamente sus objetivos de una manera eficiente, eficaz y económica.</w:t>
      </w:r>
    </w:p>
    <w:p w14:paraId="287F9BBB" w14:textId="77777777" w:rsidR="002D395D" w:rsidRPr="002D395D" w:rsidRDefault="002D395D" w:rsidP="002D395D">
      <w:pPr>
        <w:widowControl w:val="0"/>
        <w:suppressAutoHyphens/>
        <w:spacing w:after="0" w:line="360" w:lineRule="auto"/>
        <w:ind w:left="0" w:right="0" w:firstLine="0"/>
        <w:textAlignment w:val="baseline"/>
        <w:rPr>
          <w:rFonts w:eastAsia="Times New Roman"/>
          <w:bCs/>
          <w:iCs/>
          <w:color w:val="auto"/>
          <w:kern w:val="1"/>
          <w:szCs w:val="24"/>
          <w:lang w:eastAsia="ar-SA" w:bidi="hi-IN"/>
        </w:rPr>
      </w:pPr>
    </w:p>
    <w:p w14:paraId="4286190B" w14:textId="77777777" w:rsidR="002D395D" w:rsidRPr="002D395D" w:rsidRDefault="002D395D" w:rsidP="002D395D">
      <w:pPr>
        <w:widowControl w:val="0"/>
        <w:suppressAutoHyphens/>
        <w:spacing w:after="0" w:line="360" w:lineRule="auto"/>
        <w:ind w:left="0" w:right="0" w:firstLine="0"/>
        <w:textAlignment w:val="baseline"/>
        <w:rPr>
          <w:rFonts w:eastAsia="Times New Roman"/>
          <w:bCs/>
          <w:iCs/>
          <w:color w:val="auto"/>
          <w:kern w:val="1"/>
          <w:szCs w:val="24"/>
          <w:lang w:eastAsia="ar-SA" w:bidi="hi-IN"/>
        </w:rPr>
      </w:pPr>
      <w:r w:rsidRPr="002D395D">
        <w:rPr>
          <w:rFonts w:eastAsia="Times New Roman"/>
          <w:bCs/>
          <w:iCs/>
          <w:color w:val="auto"/>
          <w:kern w:val="1"/>
          <w:szCs w:val="24"/>
          <w:lang w:eastAsia="ar-SA" w:bidi="hi-IN"/>
        </w:rPr>
        <w:t xml:space="preserve">En tal sentido las UE son las encargadas de conducir las operaciones orientadas a la gestión de los fondos y recursos que administran, conforme a las normas y procedimientos establecidos por los Lineamientos de Crédito Público del Ministerio de Hacienda y el resto del bloque de legalidad que las regulan, para la ejecución de proyectos específicos en un tiempo determinado;  por tanto los Gerentes/Directores de las UE son los responsables de los ingresos y egresos que administran, las que también se caracterizan por su temporalidad en el cumplimiento de los objetivos. </w:t>
      </w:r>
    </w:p>
    <w:p w14:paraId="2D7B991C" w14:textId="77777777" w:rsidR="002D395D" w:rsidRPr="002D395D" w:rsidRDefault="002D395D" w:rsidP="002D395D">
      <w:pPr>
        <w:widowControl w:val="0"/>
        <w:suppressAutoHyphens/>
        <w:spacing w:after="0" w:line="360" w:lineRule="auto"/>
        <w:ind w:left="0" w:right="0" w:firstLine="0"/>
        <w:textAlignment w:val="baseline"/>
        <w:rPr>
          <w:rFonts w:eastAsia="Times New Roman"/>
          <w:bCs/>
          <w:iCs/>
          <w:color w:val="auto"/>
          <w:kern w:val="1"/>
          <w:szCs w:val="24"/>
          <w:lang w:eastAsia="ar-SA" w:bidi="hi-IN"/>
        </w:rPr>
      </w:pPr>
      <w:r w:rsidRPr="002D395D">
        <w:rPr>
          <w:rFonts w:eastAsia="Times New Roman"/>
          <w:bCs/>
          <w:iCs/>
          <w:color w:val="auto"/>
          <w:kern w:val="1"/>
          <w:szCs w:val="24"/>
          <w:lang w:eastAsia="ar-SA" w:bidi="hi-IN"/>
        </w:rPr>
        <w:t xml:space="preserve"> </w:t>
      </w:r>
    </w:p>
    <w:p w14:paraId="79AD800A" w14:textId="77777777" w:rsidR="002D395D" w:rsidRPr="002D395D" w:rsidRDefault="002D395D" w:rsidP="002D395D">
      <w:pPr>
        <w:widowControl w:val="0"/>
        <w:suppressAutoHyphens/>
        <w:spacing w:after="0" w:line="360" w:lineRule="auto"/>
        <w:ind w:left="0" w:right="0" w:firstLine="0"/>
        <w:textAlignment w:val="baseline"/>
        <w:rPr>
          <w:rFonts w:eastAsia="Times New Roman"/>
          <w:bCs/>
          <w:iCs/>
          <w:color w:val="auto"/>
          <w:kern w:val="1"/>
          <w:szCs w:val="24"/>
          <w:lang w:eastAsia="ar-SA" w:bidi="hi-IN"/>
        </w:rPr>
      </w:pPr>
      <w:r w:rsidRPr="002D395D">
        <w:rPr>
          <w:rFonts w:eastAsia="Times New Roman"/>
          <w:bCs/>
          <w:iCs/>
          <w:color w:val="auto"/>
          <w:kern w:val="1"/>
          <w:szCs w:val="24"/>
          <w:lang w:eastAsia="ar-SA" w:bidi="hi-IN"/>
        </w:rPr>
        <w:t>En este contexto, la auditoría se centró en examinar si los procesos y procedimientos relacionados con la gestión de puestos en las Unidades Ejecutoras, cumplen</w:t>
      </w:r>
      <w:r w:rsidRPr="002D395D">
        <w:rPr>
          <w:rFonts w:eastAsia="SimSun"/>
          <w:iCs/>
          <w:color w:val="auto"/>
          <w:kern w:val="1"/>
          <w:szCs w:val="24"/>
          <w:lang w:val="es-ES_tradnl" w:eastAsia="hi-IN" w:bidi="hi-IN"/>
        </w:rPr>
        <w:t xml:space="preserve"> </w:t>
      </w:r>
      <w:r w:rsidRPr="002D395D">
        <w:rPr>
          <w:rFonts w:eastAsia="Times New Roman"/>
          <w:bCs/>
          <w:iCs/>
          <w:color w:val="auto"/>
          <w:kern w:val="1"/>
          <w:szCs w:val="24"/>
          <w:lang w:eastAsia="ar-SA" w:bidi="hi-IN"/>
        </w:rPr>
        <w:t xml:space="preserve">razonablemente con la normativa vigente aplicable, para lo cual se definieron además, los objetivos específicos, en relación con los métodos utilizados para la planificación de los requerimientos del personal y la definición de los puestos, así como la normativa y procedimientos usados en  el reclutamiento y selección de los funcionarios, </w:t>
      </w:r>
      <w:r w:rsidRPr="002D395D">
        <w:rPr>
          <w:rFonts w:eastAsia="Times New Roman"/>
          <w:iCs/>
          <w:color w:val="auto"/>
          <w:kern w:val="1"/>
          <w:szCs w:val="24"/>
          <w:lang w:eastAsia="hi-IN" w:bidi="hi-IN"/>
        </w:rPr>
        <w:t xml:space="preserve">la existencia y </w:t>
      </w:r>
      <w:r w:rsidRPr="002D395D">
        <w:rPr>
          <w:rFonts w:eastAsia="Times New Roman"/>
          <w:bCs/>
          <w:iCs/>
          <w:color w:val="auto"/>
          <w:kern w:val="1"/>
          <w:szCs w:val="24"/>
          <w:lang w:eastAsia="ar-SA" w:bidi="hi-IN"/>
        </w:rPr>
        <w:t xml:space="preserve">aplicación de metodología y herramientas para el análisis y valoración periódico de los puestos, incluyendo la evaluación del desempeño, acorde con las funciones, responsabilidades, complejidad de tareas, consecuencia del error y los riesgos asociados, también para las competencias y el perfil del </w:t>
      </w:r>
      <w:r w:rsidRPr="002D395D">
        <w:rPr>
          <w:rFonts w:eastAsia="Times New Roman"/>
          <w:bCs/>
          <w:iCs/>
          <w:color w:val="auto"/>
          <w:kern w:val="1"/>
          <w:szCs w:val="24"/>
          <w:lang w:eastAsia="ar-SA" w:bidi="hi-IN"/>
        </w:rPr>
        <w:lastRenderedPageBreak/>
        <w:t xml:space="preserve">personal idóneo, entre otros. </w:t>
      </w:r>
    </w:p>
    <w:p w14:paraId="1015FAAB" w14:textId="77777777" w:rsidR="002D395D" w:rsidRPr="002D395D" w:rsidRDefault="002D395D" w:rsidP="002D395D">
      <w:pPr>
        <w:widowControl w:val="0"/>
        <w:suppressAutoHyphens/>
        <w:spacing w:after="0" w:line="360" w:lineRule="auto"/>
        <w:ind w:left="0" w:right="0" w:firstLine="0"/>
        <w:textAlignment w:val="baseline"/>
        <w:rPr>
          <w:rFonts w:eastAsia="Times New Roman"/>
          <w:bCs/>
          <w:iCs/>
          <w:color w:val="auto"/>
          <w:kern w:val="1"/>
          <w:szCs w:val="24"/>
          <w:lang w:eastAsia="ar-SA" w:bidi="hi-IN"/>
        </w:rPr>
      </w:pPr>
    </w:p>
    <w:p w14:paraId="0F11E46B" w14:textId="77777777" w:rsidR="002D395D" w:rsidRDefault="002D395D" w:rsidP="002D395D">
      <w:pPr>
        <w:widowControl w:val="0"/>
        <w:suppressAutoHyphens/>
        <w:spacing w:after="0" w:line="360" w:lineRule="auto"/>
        <w:ind w:left="0" w:right="0" w:firstLine="0"/>
        <w:textAlignment w:val="baseline"/>
        <w:rPr>
          <w:rFonts w:eastAsia="SimSun"/>
          <w:color w:val="auto"/>
          <w:kern w:val="1"/>
          <w:szCs w:val="24"/>
          <w:lang w:eastAsia="hi-IN" w:bidi="hi-IN"/>
        </w:rPr>
      </w:pPr>
      <w:r w:rsidRPr="002D395D">
        <w:rPr>
          <w:rFonts w:eastAsia="Times New Roman"/>
          <w:bCs/>
          <w:iCs/>
          <w:color w:val="auto"/>
          <w:kern w:val="1"/>
          <w:szCs w:val="24"/>
          <w:lang w:eastAsia="ar-SA" w:bidi="hi-IN"/>
        </w:rPr>
        <w:t>Al respecto cabe mencionar que, de conformidad con las pruebas de auditoría que respaldan este estudio, se obtuvieron los siguientes resultados en relación con las oportunidades de mejora en esta gestión de puestos de las Unidades Ejecutoras que fueron evaluadas, las cuales, pese a tener su propia naturaleza y objetivos, comparten algunas debilidades que afectan su desempeño y el logro de sus objetivos de manera oportuna y eficiente, entre las que se destacan: La i</w:t>
      </w:r>
      <w:r w:rsidRPr="002D395D">
        <w:rPr>
          <w:rFonts w:eastAsia="SimSun"/>
          <w:color w:val="auto"/>
          <w:kern w:val="1"/>
          <w:szCs w:val="24"/>
          <w:lang w:eastAsia="hi-IN" w:bidi="hi-IN"/>
        </w:rPr>
        <w:t xml:space="preserve">nexistencia de una normativa y metodología institucional para la creación, organización y funcionamiento de unidades ejecutoras; debilidades en la planificación y definición de requerimientos del capital humano, así como en el proceso y procedimientos de reclutamiento y selección del personal; además el deficiente sistema de información en las tres UE y la falta de evaluación del desempeño a los funcionarios. </w:t>
      </w:r>
    </w:p>
    <w:p w14:paraId="5D6B282B" w14:textId="77777777" w:rsidR="002D395D" w:rsidRDefault="002D395D" w:rsidP="002D395D">
      <w:pPr>
        <w:widowControl w:val="0"/>
        <w:suppressAutoHyphens/>
        <w:spacing w:after="0" w:line="360" w:lineRule="auto"/>
        <w:ind w:left="0" w:right="0" w:firstLine="0"/>
        <w:textAlignment w:val="baseline"/>
        <w:rPr>
          <w:rFonts w:eastAsia="SimSun"/>
          <w:color w:val="auto"/>
          <w:kern w:val="1"/>
          <w:szCs w:val="24"/>
          <w:lang w:eastAsia="hi-IN" w:bidi="hi-IN"/>
        </w:rPr>
      </w:pPr>
    </w:p>
    <w:p w14:paraId="0AB09F30" w14:textId="12632718" w:rsidR="002D395D" w:rsidRDefault="002D395D" w:rsidP="002D395D">
      <w:pPr>
        <w:widowControl w:val="0"/>
        <w:suppressAutoHyphens/>
        <w:spacing w:after="0" w:line="360" w:lineRule="auto"/>
        <w:ind w:left="0" w:right="0" w:firstLine="0"/>
        <w:textAlignment w:val="baseline"/>
        <w:rPr>
          <w:rFonts w:eastAsia="SimSun"/>
          <w:bCs/>
          <w:color w:val="auto"/>
          <w:kern w:val="1"/>
          <w:szCs w:val="24"/>
          <w:lang w:eastAsia="hi-IN" w:bidi="hi-IN"/>
        </w:rPr>
      </w:pPr>
      <w:r w:rsidRPr="002D395D">
        <w:rPr>
          <w:rFonts w:eastAsia="SimSun"/>
          <w:color w:val="auto"/>
          <w:kern w:val="1"/>
          <w:szCs w:val="24"/>
          <w:lang w:eastAsia="hi-IN" w:bidi="hi-IN"/>
        </w:rPr>
        <w:t xml:space="preserve">En los resultados de la UE PAPS destacan también las debilidades en la administración del capital humano; incongruencias en la información suministrada respecto a los porcentajes de avances físicos y financieros del programa y sus componentes; Directores unipersonales o con solo un funcionario a cargo; cambios recurrentes del gerente del proyecto JBIC hoy PAPS; además que </w:t>
      </w:r>
      <w:r w:rsidRPr="002D395D">
        <w:rPr>
          <w:rFonts w:eastAsia="SimSun"/>
          <w:bCs/>
          <w:kern w:val="1"/>
          <w:szCs w:val="24"/>
          <w:lang w:eastAsia="hi-IN" w:bidi="hi-IN"/>
        </w:rPr>
        <w:t xml:space="preserve">los </w:t>
      </w:r>
      <w:r w:rsidRPr="002D395D">
        <w:rPr>
          <w:rFonts w:eastAsia="SimSun"/>
          <w:bCs/>
          <w:color w:val="auto"/>
          <w:kern w:val="1"/>
          <w:szCs w:val="24"/>
          <w:lang w:eastAsia="hi-IN" w:bidi="hi-IN"/>
        </w:rPr>
        <w:t xml:space="preserve">proyectos: </w:t>
      </w:r>
      <w:proofErr w:type="spellStart"/>
      <w:r w:rsidRPr="002D395D">
        <w:rPr>
          <w:rFonts w:eastAsia="SimSun"/>
          <w:bCs/>
          <w:color w:val="auto"/>
          <w:kern w:val="1"/>
          <w:szCs w:val="24"/>
          <w:lang w:eastAsia="hi-IN" w:bidi="hi-IN"/>
        </w:rPr>
        <w:t>Matinilla</w:t>
      </w:r>
      <w:proofErr w:type="spellEnd"/>
      <w:r w:rsidRPr="002D395D">
        <w:rPr>
          <w:rFonts w:eastAsia="SimSun"/>
          <w:bCs/>
          <w:color w:val="auto"/>
          <w:kern w:val="1"/>
          <w:szCs w:val="24"/>
          <w:lang w:eastAsia="hi-IN" w:bidi="hi-IN"/>
        </w:rPr>
        <w:t xml:space="preserve">, La Capri y Sector Sur de Escazú, que fueron planificados y ejecutados por la unidad ejecutora BCIE 1725, sin embargo, se incorporaron también en la </w:t>
      </w:r>
      <w:r>
        <w:rPr>
          <w:rFonts w:eastAsia="SimSun"/>
          <w:bCs/>
          <w:color w:val="auto"/>
          <w:kern w:val="1"/>
          <w:szCs w:val="24"/>
          <w:lang w:eastAsia="hi-IN" w:bidi="hi-IN"/>
        </w:rPr>
        <w:t>L</w:t>
      </w:r>
      <w:r w:rsidRPr="002D395D">
        <w:rPr>
          <w:rFonts w:eastAsia="SimSun"/>
          <w:bCs/>
          <w:color w:val="auto"/>
          <w:kern w:val="1"/>
          <w:szCs w:val="24"/>
          <w:lang w:eastAsia="hi-IN" w:bidi="hi-IN"/>
        </w:rPr>
        <w:t>ey N</w:t>
      </w:r>
      <w:r>
        <w:rPr>
          <w:rFonts w:eastAsia="SimSun"/>
          <w:bCs/>
          <w:color w:val="auto"/>
          <w:kern w:val="1"/>
          <w:szCs w:val="24"/>
          <w:lang w:eastAsia="hi-IN" w:bidi="hi-IN"/>
        </w:rPr>
        <w:t>.</w:t>
      </w:r>
      <w:r w:rsidRPr="002D395D">
        <w:rPr>
          <w:rFonts w:eastAsia="SimSun"/>
          <w:bCs/>
          <w:color w:val="auto"/>
          <w:kern w:val="1"/>
          <w:szCs w:val="24"/>
          <w:lang w:eastAsia="hi-IN" w:bidi="hi-IN"/>
        </w:rPr>
        <w:t>°9167 de la integración en la UE PAPS.</w:t>
      </w:r>
    </w:p>
    <w:p w14:paraId="226D483B" w14:textId="77777777" w:rsidR="002D395D" w:rsidRPr="002D395D" w:rsidRDefault="002D395D" w:rsidP="002D395D">
      <w:pPr>
        <w:widowControl w:val="0"/>
        <w:suppressAutoHyphens/>
        <w:spacing w:after="0" w:line="360" w:lineRule="auto"/>
        <w:ind w:left="0" w:right="0" w:firstLine="0"/>
        <w:textAlignment w:val="baseline"/>
        <w:rPr>
          <w:rFonts w:eastAsia="SimSun"/>
          <w:bCs/>
          <w:color w:val="auto"/>
          <w:kern w:val="1"/>
          <w:szCs w:val="24"/>
          <w:lang w:eastAsia="hi-IN" w:bidi="hi-IN"/>
        </w:rPr>
      </w:pPr>
    </w:p>
    <w:p w14:paraId="34D7A092" w14:textId="00DF8F7A" w:rsidR="002D395D" w:rsidRPr="002D395D" w:rsidRDefault="002D395D" w:rsidP="002D395D">
      <w:pPr>
        <w:widowControl w:val="0"/>
        <w:tabs>
          <w:tab w:val="left" w:pos="840"/>
        </w:tabs>
        <w:suppressAutoHyphens/>
        <w:spacing w:after="0" w:line="360" w:lineRule="auto"/>
        <w:ind w:left="0" w:right="0" w:firstLine="0"/>
        <w:textAlignment w:val="baseline"/>
        <w:rPr>
          <w:rFonts w:eastAsia="SimSun"/>
          <w:color w:val="auto"/>
          <w:kern w:val="1"/>
          <w:szCs w:val="24"/>
          <w:lang w:eastAsia="hi-IN" w:bidi="hi-IN"/>
        </w:rPr>
      </w:pPr>
      <w:r w:rsidRPr="002D395D">
        <w:rPr>
          <w:rFonts w:eastAsia="SimSun"/>
          <w:bCs/>
          <w:color w:val="auto"/>
          <w:kern w:val="1"/>
          <w:szCs w:val="24"/>
          <w:lang w:eastAsia="hi-IN" w:bidi="hi-IN"/>
        </w:rPr>
        <w:t>Asimismo</w:t>
      </w:r>
      <w:r>
        <w:rPr>
          <w:rFonts w:eastAsia="SimSun"/>
          <w:bCs/>
          <w:color w:val="auto"/>
          <w:kern w:val="1"/>
          <w:szCs w:val="24"/>
          <w:lang w:eastAsia="hi-IN" w:bidi="hi-IN"/>
        </w:rPr>
        <w:t>,</w:t>
      </w:r>
      <w:r w:rsidRPr="002D395D">
        <w:rPr>
          <w:rFonts w:eastAsia="SimSun"/>
          <w:color w:val="auto"/>
          <w:kern w:val="1"/>
          <w:szCs w:val="24"/>
          <w:lang w:eastAsia="hi-IN" w:bidi="hi-IN"/>
        </w:rPr>
        <w:t xml:space="preserve"> se determinaron hallazgos en la UE BCIE en relación con: caso de una funcionaria que, al momento de este estudio, estaba desempeñando el puesto como jefatura de la dirección Administrativa–Financiera y que no cumple con los requisitos para el puesto (ejercicio ilegal); oportunidades de mejora respecto al clima organizacional; </w:t>
      </w:r>
      <w:r w:rsidRPr="002D395D">
        <w:rPr>
          <w:rFonts w:eastAsia="SimSun"/>
          <w:bCs/>
          <w:color w:val="auto"/>
          <w:kern w:val="1"/>
          <w:szCs w:val="24"/>
          <w:lang w:eastAsia="hi-IN" w:bidi="hi-IN"/>
        </w:rPr>
        <w:t xml:space="preserve">solicitudes de prórrogas de plazas que no fueron utilizadas; contratación de personal vs sub ejecución presupuestaria BCIE en el periodo 2015-2017; la </w:t>
      </w:r>
      <w:r w:rsidRPr="002D395D">
        <w:rPr>
          <w:rFonts w:eastAsia="SimSun"/>
          <w:color w:val="auto"/>
          <w:kern w:val="1"/>
          <w:szCs w:val="24"/>
          <w:lang w:eastAsia="hi-IN" w:bidi="hi-IN"/>
        </w:rPr>
        <w:t>existencia de plazas solicitadas por AyA que fueron aprobadas por la AP con una clase superior y que están siendo subutilizadas en esa UE.</w:t>
      </w:r>
    </w:p>
    <w:p w14:paraId="2CC09C51" w14:textId="77777777" w:rsidR="002D395D" w:rsidRPr="002D395D" w:rsidRDefault="002D395D" w:rsidP="002D395D">
      <w:pPr>
        <w:widowControl w:val="0"/>
        <w:suppressAutoHyphens/>
        <w:spacing w:after="0" w:line="360" w:lineRule="auto"/>
        <w:ind w:left="0" w:right="0" w:firstLine="0"/>
        <w:textAlignment w:val="baseline"/>
        <w:rPr>
          <w:rFonts w:eastAsia="SimSun"/>
          <w:color w:val="auto"/>
          <w:kern w:val="1"/>
          <w:szCs w:val="24"/>
          <w:lang w:eastAsia="hi-IN" w:bidi="hi-IN"/>
        </w:rPr>
      </w:pPr>
      <w:r w:rsidRPr="002D395D">
        <w:rPr>
          <w:rFonts w:eastAsia="SimSun"/>
          <w:color w:val="auto"/>
          <w:kern w:val="1"/>
          <w:szCs w:val="24"/>
          <w:lang w:eastAsia="hi-IN" w:bidi="hi-IN"/>
        </w:rPr>
        <w:lastRenderedPageBreak/>
        <w:t xml:space="preserve">Por su parte en la UE de RANC-EE se determinó la subutilización de las plazas por servicios especiales solicitadas y aprobadas por la Autoridad Presupuestaria; así como funcionarios nombrados en otras plazas distintas a las aprobadas y; por último, la </w:t>
      </w:r>
      <w:proofErr w:type="spellStart"/>
      <w:r w:rsidRPr="002D395D">
        <w:rPr>
          <w:rFonts w:eastAsia="SimSun"/>
          <w:color w:val="auto"/>
          <w:kern w:val="1"/>
          <w:szCs w:val="24"/>
          <w:lang w:eastAsia="hi-IN" w:bidi="hi-IN"/>
        </w:rPr>
        <w:t>sub-ejecución</w:t>
      </w:r>
      <w:proofErr w:type="spellEnd"/>
      <w:r w:rsidRPr="002D395D">
        <w:rPr>
          <w:rFonts w:eastAsia="SimSun"/>
          <w:color w:val="auto"/>
          <w:kern w:val="1"/>
          <w:szCs w:val="24"/>
          <w:lang w:eastAsia="hi-IN" w:bidi="hi-IN"/>
        </w:rPr>
        <w:t xml:space="preserve"> presupuestaria de la subpartida (contrapartida) en el periodo 2015-2017.</w:t>
      </w:r>
    </w:p>
    <w:p w14:paraId="74399F4C" w14:textId="77777777" w:rsidR="002D395D" w:rsidRPr="002D395D" w:rsidRDefault="002D395D" w:rsidP="002D395D">
      <w:pPr>
        <w:widowControl w:val="0"/>
        <w:suppressAutoHyphens/>
        <w:spacing w:after="0" w:line="360" w:lineRule="auto"/>
        <w:ind w:left="0" w:right="0" w:firstLine="0"/>
        <w:textAlignment w:val="baseline"/>
        <w:rPr>
          <w:rFonts w:eastAsia="SimSun"/>
          <w:bCs/>
          <w:iCs/>
          <w:color w:val="auto"/>
          <w:spacing w:val="-3"/>
          <w:kern w:val="1"/>
          <w:szCs w:val="24"/>
          <w:shd w:val="clear" w:color="auto" w:fill="FFFFFF"/>
          <w:lang w:eastAsia="hi-IN" w:bidi="hi-IN"/>
        </w:rPr>
      </w:pPr>
    </w:p>
    <w:p w14:paraId="61A11893" w14:textId="77777777" w:rsidR="002D395D" w:rsidRPr="002D395D" w:rsidRDefault="002D395D" w:rsidP="002D395D">
      <w:pPr>
        <w:widowControl w:val="0"/>
        <w:suppressAutoHyphens/>
        <w:autoSpaceDE w:val="0"/>
        <w:spacing w:after="0" w:line="360" w:lineRule="auto"/>
        <w:ind w:left="0" w:right="0" w:firstLine="0"/>
        <w:textAlignment w:val="baseline"/>
        <w:rPr>
          <w:rFonts w:eastAsia="SimSun"/>
          <w:bCs/>
          <w:iCs/>
          <w:color w:val="auto"/>
          <w:spacing w:val="-3"/>
          <w:kern w:val="1"/>
          <w:szCs w:val="24"/>
          <w:shd w:val="clear" w:color="auto" w:fill="FFFFFF"/>
          <w:lang w:eastAsia="hi-IN" w:bidi="hi-IN"/>
        </w:rPr>
      </w:pPr>
      <w:r w:rsidRPr="002D395D">
        <w:rPr>
          <w:rFonts w:eastAsia="SimSun"/>
          <w:bCs/>
          <w:iCs/>
          <w:color w:val="auto"/>
          <w:spacing w:val="-3"/>
          <w:kern w:val="1"/>
          <w:szCs w:val="24"/>
          <w:shd w:val="clear" w:color="auto" w:fill="FFFFFF"/>
          <w:lang w:eastAsia="hi-IN" w:bidi="hi-IN"/>
        </w:rPr>
        <w:t xml:space="preserve">Estos resultados evidencian, en general, las debilidades de control interno, en cuanto a la planificación y gestión del capital humano en las Unidades Ejecutoras, así como la inobservancia por parte de la Dirección Gestión de Capital Humano, de velar y asesorar en el cumplimiento técnico y legal en la gestión de las plazas por servicios especiales que han sido aprobadas por la Autoridad Presupuestaria. Por lo que estos hallazgos se constituyen en oportunidades de mejora vinculadas con los aspectos aquí señalados, que de atenderse oportunamente impactarían de forma positiva la gestión en las UE, por ser de relevancia en el logro de los objetivos institucionales, así como en el desarrollo de sus proyectos. </w:t>
      </w:r>
    </w:p>
    <w:p w14:paraId="7C38A3E1" w14:textId="77777777" w:rsidR="002D395D" w:rsidRPr="002D395D" w:rsidRDefault="002D395D" w:rsidP="002D395D">
      <w:pPr>
        <w:widowControl w:val="0"/>
        <w:suppressAutoHyphens/>
        <w:autoSpaceDE w:val="0"/>
        <w:spacing w:after="0" w:line="360" w:lineRule="auto"/>
        <w:ind w:left="0" w:right="0" w:firstLine="0"/>
        <w:textAlignment w:val="baseline"/>
        <w:rPr>
          <w:rFonts w:eastAsia="SimSun"/>
          <w:bCs/>
          <w:iCs/>
          <w:color w:val="auto"/>
          <w:spacing w:val="-3"/>
          <w:kern w:val="1"/>
          <w:szCs w:val="24"/>
          <w:shd w:val="clear" w:color="auto" w:fill="FFFFFF"/>
          <w:lang w:eastAsia="hi-IN" w:bidi="hi-IN"/>
        </w:rPr>
      </w:pPr>
    </w:p>
    <w:p w14:paraId="23F3DED5" w14:textId="0128F2F1" w:rsidR="002D395D" w:rsidRDefault="002D395D" w:rsidP="002D395D">
      <w:pPr>
        <w:widowControl w:val="0"/>
        <w:suppressAutoHyphens/>
        <w:autoSpaceDE w:val="0"/>
        <w:spacing w:after="0" w:line="360" w:lineRule="auto"/>
        <w:ind w:left="0" w:right="0" w:firstLine="0"/>
        <w:textAlignment w:val="baseline"/>
        <w:rPr>
          <w:rFonts w:eastAsia="SimSun"/>
          <w:bCs/>
          <w:iCs/>
          <w:color w:val="auto"/>
          <w:spacing w:val="-3"/>
          <w:kern w:val="1"/>
          <w:szCs w:val="24"/>
          <w:shd w:val="clear" w:color="auto" w:fill="FFFFFF"/>
          <w:lang w:eastAsia="hi-IN" w:bidi="hi-IN"/>
        </w:rPr>
      </w:pPr>
      <w:r w:rsidRPr="002D395D">
        <w:rPr>
          <w:rFonts w:eastAsia="SimSun"/>
          <w:bCs/>
          <w:iCs/>
          <w:color w:val="auto"/>
          <w:spacing w:val="-3"/>
          <w:kern w:val="1"/>
          <w:szCs w:val="24"/>
          <w:shd w:val="clear" w:color="auto" w:fill="FFFFFF"/>
          <w:lang w:eastAsia="hi-IN" w:bidi="hi-IN"/>
        </w:rPr>
        <w:t>Por lo tanto, con el propósito de contribuir a las mejoras en este proceso, se emiten los resultados de la evaluación, los cuales se presentan en detalle en los apartados del 2.1 al 2.23 de este informe, así como las conclusiones y recomendaciones pertinentes.</w:t>
      </w:r>
    </w:p>
    <w:p w14:paraId="1AFCB08A" w14:textId="3200C199" w:rsidR="002D395D" w:rsidRDefault="002D395D" w:rsidP="002D395D">
      <w:pPr>
        <w:widowControl w:val="0"/>
        <w:suppressAutoHyphens/>
        <w:autoSpaceDE w:val="0"/>
        <w:spacing w:after="0" w:line="360" w:lineRule="auto"/>
        <w:ind w:left="0" w:right="0" w:firstLine="0"/>
        <w:textAlignment w:val="baseline"/>
        <w:rPr>
          <w:rFonts w:eastAsia="SimSun"/>
          <w:color w:val="auto"/>
          <w:kern w:val="1"/>
          <w:szCs w:val="24"/>
          <w:lang w:eastAsia="hi-IN" w:bidi="hi-IN"/>
        </w:rPr>
      </w:pPr>
    </w:p>
    <w:p w14:paraId="620FDDA3" w14:textId="77777777" w:rsidR="002D395D" w:rsidRDefault="002D395D" w:rsidP="002D395D">
      <w:pPr>
        <w:widowControl w:val="0"/>
        <w:suppressAutoHyphens/>
        <w:autoSpaceDE w:val="0"/>
        <w:spacing w:after="0" w:line="360" w:lineRule="auto"/>
        <w:ind w:left="0" w:right="0" w:firstLine="0"/>
        <w:textAlignment w:val="baseline"/>
        <w:rPr>
          <w:rFonts w:eastAsia="SimSun"/>
          <w:color w:val="auto"/>
          <w:kern w:val="1"/>
          <w:szCs w:val="24"/>
          <w:lang w:eastAsia="hi-IN" w:bidi="hi-IN"/>
        </w:rPr>
      </w:pPr>
      <w:bookmarkStart w:id="0" w:name="_GoBack"/>
      <w:bookmarkEnd w:id="0"/>
    </w:p>
    <w:p w14:paraId="7B0EB32D" w14:textId="77777777" w:rsidR="002D395D" w:rsidRPr="002D395D" w:rsidRDefault="002D395D" w:rsidP="002D395D">
      <w:pPr>
        <w:widowControl w:val="0"/>
        <w:suppressAutoHyphens/>
        <w:autoSpaceDE w:val="0"/>
        <w:spacing w:after="0" w:line="360" w:lineRule="auto"/>
        <w:ind w:left="0" w:right="0" w:firstLine="0"/>
        <w:textAlignment w:val="baseline"/>
        <w:rPr>
          <w:rFonts w:eastAsia="SimSun"/>
          <w:color w:val="auto"/>
          <w:kern w:val="1"/>
          <w:szCs w:val="24"/>
          <w:lang w:eastAsia="hi-IN" w:bidi="hi-IN"/>
        </w:rPr>
      </w:pPr>
    </w:p>
    <w:p w14:paraId="4BAE5370" w14:textId="1C61A886" w:rsidR="008B3A47" w:rsidRPr="008B3A47" w:rsidRDefault="0077422D" w:rsidP="008B3A47">
      <w:pPr>
        <w:suppressAutoHyphens/>
        <w:autoSpaceDE w:val="0"/>
        <w:spacing w:after="0" w:line="240" w:lineRule="auto"/>
        <w:ind w:left="0" w:right="0" w:firstLine="0"/>
        <w:rPr>
          <w:rFonts w:ascii="Calibri" w:eastAsia="Calibri" w:hAnsi="Calibri" w:cs="Calibri"/>
          <w:sz w:val="22"/>
        </w:rPr>
      </w:pPr>
      <w:r>
        <w:rPr>
          <w:rFonts w:ascii="Calibri" w:eastAsia="Calibri" w:hAnsi="Calibri" w:cs="Calibri"/>
          <w:sz w:val="22"/>
        </w:rPr>
        <w:t xml:space="preserve">Preparado por: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Aprobado por:   </w:t>
      </w:r>
      <w:r w:rsidR="008B3A47">
        <w:rPr>
          <w:rFonts w:ascii="Calibri" w:eastAsia="Calibri" w:hAnsi="Calibri" w:cs="Calibri"/>
          <w:sz w:val="22"/>
        </w:rPr>
        <w:tab/>
      </w:r>
      <w:r w:rsidR="008B3A47">
        <w:rPr>
          <w:rFonts w:ascii="Calibri" w:eastAsia="Calibri" w:hAnsi="Calibri" w:cs="Calibri"/>
          <w:sz w:val="22"/>
        </w:rPr>
        <w:tab/>
      </w:r>
    </w:p>
    <w:p w14:paraId="0C120E53" w14:textId="77777777" w:rsidR="000D2120" w:rsidRDefault="000D2120" w:rsidP="000D2120">
      <w:pPr>
        <w:pStyle w:val="Default"/>
      </w:pPr>
    </w:p>
    <w:p w14:paraId="2DFAA64F" w14:textId="719E835B" w:rsidR="002D395D" w:rsidRPr="002D395D" w:rsidRDefault="002D395D" w:rsidP="002D395D">
      <w:pPr>
        <w:spacing w:after="0" w:line="240" w:lineRule="auto"/>
        <w:ind w:right="283"/>
        <w:jc w:val="left"/>
        <w:rPr>
          <w:rFonts w:ascii="Calibri" w:eastAsia="Calibri" w:hAnsi="Calibri" w:cs="Calibri"/>
          <w:sz w:val="22"/>
          <w:szCs w:val="24"/>
          <w:lang w:val="es-CR"/>
        </w:rPr>
      </w:pPr>
      <w:r w:rsidRPr="002D395D">
        <w:rPr>
          <w:rFonts w:ascii="Calibri" w:eastAsia="Calibri" w:hAnsi="Calibri" w:cs="Calibri"/>
          <w:sz w:val="22"/>
          <w:szCs w:val="24"/>
          <w:lang w:val="es-CR"/>
        </w:rPr>
        <w:t xml:space="preserve">Licda. </w:t>
      </w:r>
      <w:proofErr w:type="spellStart"/>
      <w:r w:rsidRPr="002D395D">
        <w:rPr>
          <w:rFonts w:ascii="Calibri" w:eastAsia="Calibri" w:hAnsi="Calibri" w:cs="Calibri"/>
          <w:sz w:val="22"/>
          <w:szCs w:val="24"/>
          <w:lang w:val="es-CR"/>
        </w:rPr>
        <w:t>Dilana</w:t>
      </w:r>
      <w:proofErr w:type="spellEnd"/>
      <w:r w:rsidRPr="002D395D">
        <w:rPr>
          <w:rFonts w:ascii="Calibri" w:eastAsia="Calibri" w:hAnsi="Calibri" w:cs="Calibri"/>
          <w:sz w:val="22"/>
          <w:szCs w:val="24"/>
          <w:lang w:val="es-CR"/>
        </w:rPr>
        <w:t xml:space="preserve"> Alpízar Cubero </w:t>
      </w:r>
      <w:r>
        <w:rPr>
          <w:rFonts w:ascii="Calibri" w:eastAsia="Calibri" w:hAnsi="Calibri" w:cs="Calibri"/>
          <w:sz w:val="22"/>
          <w:szCs w:val="24"/>
          <w:lang w:val="es-CR"/>
        </w:rPr>
        <w:tab/>
      </w:r>
      <w:r>
        <w:rPr>
          <w:rFonts w:ascii="Calibri" w:eastAsia="Calibri" w:hAnsi="Calibri" w:cs="Calibri"/>
          <w:sz w:val="22"/>
          <w:szCs w:val="24"/>
          <w:lang w:val="es-CR"/>
        </w:rPr>
        <w:tab/>
      </w:r>
      <w:r>
        <w:rPr>
          <w:rFonts w:ascii="Calibri" w:eastAsia="Calibri" w:hAnsi="Calibri" w:cs="Calibri"/>
          <w:sz w:val="22"/>
          <w:szCs w:val="24"/>
          <w:lang w:val="es-CR"/>
        </w:rPr>
        <w:tab/>
      </w:r>
      <w:r>
        <w:rPr>
          <w:rFonts w:ascii="Calibri" w:eastAsia="Calibri" w:hAnsi="Calibri" w:cs="Calibri"/>
          <w:sz w:val="22"/>
          <w:szCs w:val="24"/>
          <w:lang w:val="es-CR"/>
        </w:rPr>
        <w:tab/>
      </w:r>
      <w:r>
        <w:rPr>
          <w:rFonts w:ascii="Calibri" w:eastAsia="Calibri" w:hAnsi="Calibri" w:cs="Calibri"/>
          <w:sz w:val="22"/>
          <w:szCs w:val="24"/>
          <w:lang w:val="es-CR"/>
        </w:rPr>
        <w:tab/>
      </w:r>
      <w:r>
        <w:rPr>
          <w:rFonts w:ascii="Calibri" w:eastAsia="Calibri" w:hAnsi="Calibri" w:cs="Calibri"/>
          <w:sz w:val="22"/>
        </w:rPr>
        <w:t>MBA. Alfonso Segura Hidalgo</w:t>
      </w:r>
    </w:p>
    <w:p w14:paraId="03CAFB8C" w14:textId="77777777" w:rsidR="002D395D" w:rsidRPr="002D395D" w:rsidRDefault="002D395D" w:rsidP="002D395D">
      <w:pPr>
        <w:spacing w:after="0" w:line="240" w:lineRule="auto"/>
        <w:ind w:right="283"/>
        <w:jc w:val="left"/>
        <w:rPr>
          <w:rFonts w:ascii="Calibri" w:eastAsia="Calibri" w:hAnsi="Calibri" w:cs="Calibri"/>
          <w:sz w:val="22"/>
          <w:szCs w:val="24"/>
          <w:lang w:val="es-CR"/>
        </w:rPr>
      </w:pPr>
      <w:r w:rsidRPr="002D395D">
        <w:rPr>
          <w:rFonts w:ascii="Calibri" w:eastAsia="Calibri" w:hAnsi="Calibri" w:cs="Calibri"/>
          <w:sz w:val="22"/>
          <w:szCs w:val="24"/>
          <w:lang w:val="es-CR"/>
        </w:rPr>
        <w:t>Licda. Aurora María Bonilla Calvo</w:t>
      </w:r>
    </w:p>
    <w:p w14:paraId="1D20CAFB" w14:textId="77777777" w:rsidR="002D395D" w:rsidRPr="002D395D" w:rsidRDefault="002D395D" w:rsidP="002D395D">
      <w:pPr>
        <w:spacing w:after="0" w:line="240" w:lineRule="auto"/>
        <w:ind w:right="283"/>
        <w:jc w:val="left"/>
        <w:rPr>
          <w:rFonts w:ascii="Calibri" w:eastAsia="Calibri" w:hAnsi="Calibri" w:cs="Calibri"/>
          <w:sz w:val="22"/>
          <w:szCs w:val="24"/>
          <w:lang w:val="es-CR"/>
        </w:rPr>
      </w:pPr>
      <w:r w:rsidRPr="002D395D">
        <w:rPr>
          <w:rFonts w:ascii="Calibri" w:eastAsia="Calibri" w:hAnsi="Calibri" w:cs="Calibri"/>
          <w:sz w:val="22"/>
          <w:szCs w:val="24"/>
          <w:lang w:val="es-CR"/>
        </w:rPr>
        <w:t>Licda. Ana Cristina Mora Castro</w:t>
      </w:r>
    </w:p>
    <w:p w14:paraId="4B3D072E" w14:textId="4B210C10" w:rsidR="000D0B36" w:rsidRPr="000D0B36" w:rsidRDefault="002D395D" w:rsidP="002D395D">
      <w:pPr>
        <w:spacing w:after="0" w:line="240" w:lineRule="auto"/>
        <w:ind w:right="283"/>
        <w:jc w:val="left"/>
        <w:rPr>
          <w:rFonts w:ascii="Calibri" w:eastAsia="Calibri" w:hAnsi="Calibri" w:cs="Calibri"/>
          <w:sz w:val="22"/>
          <w:lang w:val="es-CR"/>
        </w:rPr>
      </w:pPr>
      <w:proofErr w:type="spellStart"/>
      <w:r w:rsidRPr="002D395D">
        <w:rPr>
          <w:rFonts w:ascii="Calibri" w:eastAsia="Calibri" w:hAnsi="Calibri" w:cs="Calibri"/>
          <w:sz w:val="22"/>
          <w:szCs w:val="24"/>
        </w:rPr>
        <w:t>MSc</w:t>
      </w:r>
      <w:proofErr w:type="spellEnd"/>
      <w:r w:rsidRPr="002D395D">
        <w:rPr>
          <w:rFonts w:ascii="Calibri" w:eastAsia="Calibri" w:hAnsi="Calibri" w:cs="Calibri"/>
          <w:sz w:val="22"/>
          <w:szCs w:val="24"/>
        </w:rPr>
        <w:t xml:space="preserve">. </w:t>
      </w:r>
      <w:proofErr w:type="spellStart"/>
      <w:r w:rsidRPr="002D395D">
        <w:rPr>
          <w:rFonts w:ascii="Calibri" w:eastAsia="Calibri" w:hAnsi="Calibri" w:cs="Calibri"/>
          <w:sz w:val="22"/>
          <w:szCs w:val="24"/>
        </w:rPr>
        <w:t>Yadely</w:t>
      </w:r>
      <w:proofErr w:type="spellEnd"/>
      <w:r w:rsidRPr="002D395D">
        <w:rPr>
          <w:rFonts w:ascii="Calibri" w:eastAsia="Calibri" w:hAnsi="Calibri" w:cs="Calibri"/>
          <w:sz w:val="22"/>
          <w:szCs w:val="24"/>
        </w:rPr>
        <w:t xml:space="preserve"> Contreras Mendoza</w:t>
      </w:r>
      <w:r>
        <w:rPr>
          <w:rFonts w:ascii="Calibri" w:eastAsia="Calibri" w:hAnsi="Calibri" w:cs="Calibri"/>
          <w:sz w:val="22"/>
          <w:szCs w:val="24"/>
        </w:rPr>
        <w:t>, Coordinadora.</w:t>
      </w:r>
      <w:r w:rsidR="005C73DC">
        <w:rPr>
          <w:rFonts w:ascii="Calibri" w:eastAsia="Calibri" w:hAnsi="Calibri" w:cs="Calibri"/>
          <w:sz w:val="22"/>
          <w:lang w:val="es-CR"/>
        </w:rPr>
        <w:tab/>
      </w:r>
      <w:r w:rsidR="000D0B36">
        <w:rPr>
          <w:rFonts w:ascii="Calibri" w:eastAsia="Calibri" w:hAnsi="Calibri" w:cs="Calibri"/>
          <w:sz w:val="22"/>
        </w:rPr>
        <w:tab/>
      </w:r>
      <w:r w:rsidR="000D0B36">
        <w:rPr>
          <w:rFonts w:ascii="Calibri" w:eastAsia="Calibri" w:hAnsi="Calibri" w:cs="Calibri"/>
          <w:sz w:val="22"/>
        </w:rPr>
        <w:tab/>
      </w:r>
      <w:r w:rsidR="000D0B36">
        <w:rPr>
          <w:rFonts w:ascii="Calibri" w:eastAsia="Calibri" w:hAnsi="Calibri" w:cs="Calibri"/>
          <w:sz w:val="22"/>
        </w:rPr>
        <w:tab/>
      </w:r>
    </w:p>
    <w:p w14:paraId="2F7659FC" w14:textId="77777777" w:rsidR="0071192F" w:rsidRDefault="0029508D" w:rsidP="00E57E85">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p>
    <w:p w14:paraId="3FAB4617" w14:textId="7B636714" w:rsidR="00E57E85" w:rsidRPr="00E57E85" w:rsidRDefault="00E57E85" w:rsidP="00E57E85">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Pr>
          <w:rFonts w:ascii="Calibri" w:eastAsia="Calibri" w:hAnsi="Calibri" w:cs="Calibri"/>
          <w:sz w:val="22"/>
          <w:lang w:val="es-CR"/>
        </w:rPr>
        <w:tab/>
      </w:r>
    </w:p>
    <w:p w14:paraId="16204D9F" w14:textId="5F8A6283" w:rsidR="0077422D" w:rsidRDefault="0077422D" w:rsidP="00257076">
      <w:pPr>
        <w:spacing w:after="0" w:line="240" w:lineRule="auto"/>
        <w:ind w:right="283"/>
        <w:jc w:val="left"/>
      </w:pPr>
      <w:r>
        <w:rPr>
          <w:rFonts w:ascii="Calibri" w:eastAsia="Calibri" w:hAnsi="Calibri" w:cs="Calibri"/>
          <w:sz w:val="22"/>
        </w:rPr>
        <w:tab/>
        <w:t xml:space="preserve">Fecha: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Hora: </w:t>
      </w:r>
    </w:p>
    <w:p w14:paraId="5C2D7C19" w14:textId="55CA812B" w:rsidR="0077422D" w:rsidRPr="00981971" w:rsidRDefault="0071192F">
      <w:pPr>
        <w:spacing w:after="0" w:line="240" w:lineRule="auto"/>
        <w:ind w:right="0"/>
        <w:jc w:val="left"/>
        <w:rPr>
          <w:color w:val="auto"/>
        </w:rPr>
      </w:pPr>
      <w:r>
        <w:rPr>
          <w:rFonts w:ascii="Calibri" w:eastAsia="Calibri" w:hAnsi="Calibri" w:cs="Calibri"/>
          <w:color w:val="auto"/>
          <w:sz w:val="22"/>
        </w:rPr>
        <w:t>1</w:t>
      </w:r>
      <w:r w:rsidR="002D395D">
        <w:rPr>
          <w:rFonts w:ascii="Calibri" w:eastAsia="Calibri" w:hAnsi="Calibri" w:cs="Calibri"/>
          <w:color w:val="auto"/>
          <w:sz w:val="22"/>
        </w:rPr>
        <w:t>3</w:t>
      </w:r>
      <w:r w:rsidR="0077422D" w:rsidRPr="00981971">
        <w:rPr>
          <w:rFonts w:ascii="Calibri" w:eastAsia="Calibri" w:hAnsi="Calibri" w:cs="Calibri"/>
          <w:color w:val="auto"/>
          <w:sz w:val="22"/>
        </w:rPr>
        <w:t>-</w:t>
      </w:r>
      <w:r w:rsidR="00257076">
        <w:rPr>
          <w:rFonts w:ascii="Calibri" w:eastAsia="Calibri" w:hAnsi="Calibri" w:cs="Calibri"/>
          <w:color w:val="auto"/>
          <w:sz w:val="22"/>
        </w:rPr>
        <w:t>0</w:t>
      </w:r>
      <w:r w:rsidR="002D395D">
        <w:rPr>
          <w:rFonts w:ascii="Calibri" w:eastAsia="Calibri" w:hAnsi="Calibri" w:cs="Calibri"/>
          <w:color w:val="auto"/>
          <w:sz w:val="22"/>
        </w:rPr>
        <w:t>9</w:t>
      </w:r>
      <w:r w:rsidR="0077422D" w:rsidRPr="00981971">
        <w:rPr>
          <w:rFonts w:ascii="Calibri" w:eastAsia="Calibri" w:hAnsi="Calibri" w:cs="Calibri"/>
          <w:color w:val="auto"/>
          <w:sz w:val="22"/>
        </w:rPr>
        <w:t>-201</w:t>
      </w:r>
      <w:r w:rsidR="00257076">
        <w:rPr>
          <w:rFonts w:ascii="Calibri" w:eastAsia="Calibri" w:hAnsi="Calibri" w:cs="Calibri"/>
          <w:color w:val="auto"/>
          <w:sz w:val="22"/>
        </w:rPr>
        <w:t>9</w:t>
      </w:r>
      <w:r w:rsidR="0077422D" w:rsidRPr="00981971">
        <w:rPr>
          <w:rFonts w:ascii="Calibri" w:eastAsia="Calibri" w:hAnsi="Calibri" w:cs="Calibri"/>
          <w:color w:val="auto"/>
          <w:sz w:val="22"/>
        </w:rPr>
        <w:t xml:space="preserve"> </w:t>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2D395D">
        <w:rPr>
          <w:rFonts w:ascii="Calibri" w:eastAsia="Calibri" w:hAnsi="Calibri" w:cs="Calibri"/>
          <w:color w:val="auto"/>
          <w:sz w:val="22"/>
        </w:rPr>
        <w:t>11</w:t>
      </w:r>
      <w:r w:rsidR="00F717CE">
        <w:rPr>
          <w:rFonts w:ascii="Calibri" w:eastAsia="Calibri" w:hAnsi="Calibri" w:cs="Calibri"/>
          <w:color w:val="auto"/>
          <w:sz w:val="22"/>
        </w:rPr>
        <w:t>:</w:t>
      </w:r>
      <w:r w:rsidR="002D395D">
        <w:rPr>
          <w:rFonts w:ascii="Calibri" w:eastAsia="Calibri" w:hAnsi="Calibri" w:cs="Calibri"/>
          <w:color w:val="auto"/>
          <w:sz w:val="22"/>
        </w:rPr>
        <w:t>50</w:t>
      </w:r>
      <w:r w:rsidR="0077422D" w:rsidRPr="00981971">
        <w:rPr>
          <w:rFonts w:ascii="Calibri" w:eastAsia="Calibri" w:hAnsi="Calibri" w:cs="Calibri"/>
          <w:color w:val="auto"/>
          <w:sz w:val="22"/>
        </w:rPr>
        <w:t xml:space="preserve"> </w:t>
      </w:r>
      <w:r w:rsidR="002D395D">
        <w:rPr>
          <w:rFonts w:ascii="Calibri" w:eastAsia="Calibri" w:hAnsi="Calibri" w:cs="Calibri"/>
          <w:color w:val="auto"/>
          <w:sz w:val="22"/>
        </w:rPr>
        <w:t>a</w:t>
      </w:r>
      <w:r w:rsidR="0077422D" w:rsidRPr="00981971">
        <w:rPr>
          <w:rFonts w:ascii="Calibri" w:eastAsia="Calibri" w:hAnsi="Calibri" w:cs="Calibri"/>
          <w:color w:val="auto"/>
          <w:sz w:val="22"/>
        </w:rPr>
        <w:t xml:space="preserve">m </w:t>
      </w:r>
    </w:p>
    <w:sectPr w:rsidR="0077422D" w:rsidRPr="00981971" w:rsidSect="002D395D">
      <w:headerReference w:type="default" r:id="rId10"/>
      <w:footerReference w:type="default" r:id="rId11"/>
      <w:type w:val="continuous"/>
      <w:pgSz w:w="11906" w:h="16838"/>
      <w:pgMar w:top="1440" w:right="1274" w:bottom="1134" w:left="1702" w:header="851" w:footer="350" w:gutter="0"/>
      <w:cols w:space="1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A5582" w14:textId="77777777" w:rsidR="006C5EEC" w:rsidRDefault="006C5EEC" w:rsidP="00C463E9">
      <w:pPr>
        <w:spacing w:after="0" w:line="240" w:lineRule="auto"/>
      </w:pPr>
      <w:r>
        <w:separator/>
      </w:r>
    </w:p>
  </w:endnote>
  <w:endnote w:type="continuationSeparator" w:id="0">
    <w:p w14:paraId="1B1C3E3C" w14:textId="77777777" w:rsidR="006C5EEC" w:rsidRDefault="006C5EEC" w:rsidP="00C4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01">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EA37" w14:textId="77777777" w:rsidR="002D395D" w:rsidRDefault="002D395D">
    <w:pPr>
      <w:pStyle w:val="Piedepgina"/>
      <w:jc w:val="right"/>
      <w:rPr>
        <w:sz w:val="20"/>
        <w:szCs w:val="20"/>
      </w:rPr>
    </w:pPr>
  </w:p>
  <w:p w14:paraId="032516EF" w14:textId="3E9B1FCE" w:rsidR="00C463E9" w:rsidRPr="00C463E9" w:rsidRDefault="00C463E9">
    <w:pPr>
      <w:pStyle w:val="Piedepgina"/>
      <w:jc w:val="right"/>
      <w:rPr>
        <w:sz w:val="20"/>
        <w:szCs w:val="20"/>
      </w:rPr>
    </w:pPr>
    <w:r w:rsidRPr="00C463E9">
      <w:rPr>
        <w:sz w:val="20"/>
        <w:szCs w:val="20"/>
      </w:rPr>
      <w:t>Pág.</w:t>
    </w:r>
    <w:sdt>
      <w:sdtPr>
        <w:rPr>
          <w:sz w:val="20"/>
          <w:szCs w:val="20"/>
        </w:rPr>
        <w:id w:val="1520734750"/>
        <w:docPartObj>
          <w:docPartGallery w:val="Page Numbers (Bottom of Page)"/>
          <w:docPartUnique/>
        </w:docPartObj>
      </w:sdtPr>
      <w:sdtEndPr/>
      <w:sdtContent>
        <w:r w:rsidRPr="00C463E9">
          <w:rPr>
            <w:sz w:val="20"/>
            <w:szCs w:val="20"/>
          </w:rPr>
          <w:fldChar w:fldCharType="begin"/>
        </w:r>
        <w:r w:rsidRPr="00C463E9">
          <w:rPr>
            <w:sz w:val="20"/>
            <w:szCs w:val="20"/>
          </w:rPr>
          <w:instrText>PAGE   \* MERGEFORMAT</w:instrText>
        </w:r>
        <w:r w:rsidRPr="00C463E9">
          <w:rPr>
            <w:sz w:val="20"/>
            <w:szCs w:val="20"/>
          </w:rPr>
          <w:fldChar w:fldCharType="separate"/>
        </w:r>
        <w:r w:rsidRPr="00C463E9">
          <w:rPr>
            <w:sz w:val="20"/>
            <w:szCs w:val="20"/>
          </w:rPr>
          <w:t>2</w:t>
        </w:r>
        <w:r w:rsidRPr="00C463E9">
          <w:rPr>
            <w:sz w:val="20"/>
            <w:szCs w:val="20"/>
          </w:rPr>
          <w:fldChar w:fldCharType="end"/>
        </w:r>
      </w:sdtContent>
    </w:sdt>
  </w:p>
  <w:p w14:paraId="40ED7C4E" w14:textId="77777777" w:rsidR="00C463E9" w:rsidRDefault="00C463E9">
    <w:pPr>
      <w:pStyle w:val="Piedepgina"/>
    </w:pPr>
  </w:p>
  <w:p w14:paraId="34B6F2ED" w14:textId="77777777" w:rsidR="00000000" w:rsidRDefault="006C5E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D7B45" w14:textId="77777777" w:rsidR="006C5EEC" w:rsidRDefault="006C5EEC" w:rsidP="00C463E9">
      <w:pPr>
        <w:spacing w:after="0" w:line="240" w:lineRule="auto"/>
      </w:pPr>
      <w:r>
        <w:separator/>
      </w:r>
    </w:p>
  </w:footnote>
  <w:footnote w:type="continuationSeparator" w:id="0">
    <w:p w14:paraId="5A695DEC" w14:textId="77777777" w:rsidR="006C5EEC" w:rsidRDefault="006C5EEC" w:rsidP="00C4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75B2" w14:textId="77777777" w:rsidR="00C463E9" w:rsidRDefault="00C463E9" w:rsidP="00C463E9">
    <w:pPr>
      <w:spacing w:after="156" w:line="259" w:lineRule="auto"/>
      <w:ind w:right="0"/>
      <w:jc w:val="left"/>
    </w:pPr>
    <w:r>
      <w:rPr>
        <w:noProof/>
      </w:rPr>
      <w:drawing>
        <wp:anchor distT="0" distB="0" distL="114300" distR="114300" simplePos="0" relativeHeight="251659264" behindDoc="0" locked="0" layoutInCell="1" allowOverlap="0" wp14:anchorId="25AD572E" wp14:editId="05F6598E">
          <wp:simplePos x="0" y="0"/>
          <wp:positionH relativeFrom="column">
            <wp:posOffset>-728395</wp:posOffset>
          </wp:positionH>
          <wp:positionV relativeFrom="paragraph">
            <wp:posOffset>-129241</wp:posOffset>
          </wp:positionV>
          <wp:extent cx="770890" cy="737870"/>
          <wp:effectExtent l="0" t="0" r="0" b="0"/>
          <wp:wrapSquare wrapText="bothSides"/>
          <wp:docPr id="6"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0890" cy="737870"/>
                  </a:xfrm>
                  <a:prstGeom prst="rect">
                    <a:avLst/>
                  </a:prstGeom>
                </pic:spPr>
              </pic:pic>
            </a:graphicData>
          </a:graphic>
        </wp:anchor>
      </w:drawing>
    </w:r>
    <w:r>
      <w:rPr>
        <w:b/>
      </w:rPr>
      <w:t xml:space="preserve">INSTITUTO COSTARRICENSE DE ACUEDUCTOS Y ALCANTARILLADOS </w:t>
    </w:r>
  </w:p>
  <w:p w14:paraId="0DB72C72" w14:textId="77777777" w:rsidR="00C463E9" w:rsidRDefault="00C463E9" w:rsidP="00C463E9">
    <w:pPr>
      <w:spacing w:after="107" w:line="259" w:lineRule="auto"/>
      <w:ind w:left="667" w:right="0"/>
      <w:jc w:val="center"/>
    </w:pPr>
    <w:r>
      <w:rPr>
        <w:b/>
      </w:rPr>
      <w:t xml:space="preserve">San José, Costa Rica </w:t>
    </w:r>
  </w:p>
  <w:p w14:paraId="36EC9A42" w14:textId="12E338A5" w:rsidR="00C463E9" w:rsidRDefault="00C463E9" w:rsidP="002D395D">
    <w:pPr>
      <w:spacing w:after="107" w:line="259" w:lineRule="auto"/>
      <w:ind w:left="-5" w:right="193"/>
      <w:jc w:val="center"/>
    </w:pPr>
    <w:r>
      <w:rPr>
        <w:b/>
      </w:rPr>
      <w:t>Apartado 1097-1200         Teléfono 2242-5050</w:t>
    </w:r>
    <w:r>
      <w:rPr>
        <w:rFonts w:ascii="Calibri" w:eastAsia="Calibri" w:hAnsi="Calibri" w:cs="Calibri"/>
        <w:sz w:val="22"/>
      </w:rPr>
      <w:t xml:space="preserve"> </w:t>
    </w:r>
  </w:p>
  <w:p w14:paraId="6D5C2749" w14:textId="77777777" w:rsidR="00000000" w:rsidRDefault="006C5E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E522B"/>
    <w:multiLevelType w:val="hybridMultilevel"/>
    <w:tmpl w:val="F6E8B0A6"/>
    <w:lvl w:ilvl="0" w:tplc="140A0005">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87"/>
    <w:rsid w:val="00074A2F"/>
    <w:rsid w:val="000C5ED6"/>
    <w:rsid w:val="000D0B36"/>
    <w:rsid w:val="000D2120"/>
    <w:rsid w:val="00143690"/>
    <w:rsid w:val="00245ED9"/>
    <w:rsid w:val="00257076"/>
    <w:rsid w:val="0027197D"/>
    <w:rsid w:val="00294C9A"/>
    <w:rsid w:val="0029508D"/>
    <w:rsid w:val="002B2CA9"/>
    <w:rsid w:val="002D395D"/>
    <w:rsid w:val="00307955"/>
    <w:rsid w:val="00413168"/>
    <w:rsid w:val="005A46FE"/>
    <w:rsid w:val="005C73DC"/>
    <w:rsid w:val="00636BD7"/>
    <w:rsid w:val="006C5EEC"/>
    <w:rsid w:val="0071192F"/>
    <w:rsid w:val="00772C33"/>
    <w:rsid w:val="0077422D"/>
    <w:rsid w:val="00856073"/>
    <w:rsid w:val="008A5C1B"/>
    <w:rsid w:val="008B3A47"/>
    <w:rsid w:val="008C6887"/>
    <w:rsid w:val="00981971"/>
    <w:rsid w:val="009B1D14"/>
    <w:rsid w:val="00AC3BAD"/>
    <w:rsid w:val="00AC6EEA"/>
    <w:rsid w:val="00B95B7A"/>
    <w:rsid w:val="00C463E9"/>
    <w:rsid w:val="00D84E3D"/>
    <w:rsid w:val="00E512CB"/>
    <w:rsid w:val="00E57E85"/>
    <w:rsid w:val="00E66440"/>
    <w:rsid w:val="00E91A39"/>
    <w:rsid w:val="00F717CE"/>
    <w:rsid w:val="00F74AE1"/>
    <w:rsid w:val="00FA1808"/>
    <w:rsid w:val="00FA3A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F594"/>
  <w15:docId w15:val="{5C78E4EF-8EDB-4A40-95CC-9A5400C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50" w:lineRule="auto"/>
      <w:ind w:left="10" w:right="56" w:hanging="10"/>
      <w:jc w:val="both"/>
    </w:pPr>
    <w:rPr>
      <w:rFonts w:ascii="Arial" w:eastAsia="Arial" w:hAnsi="Arial" w:cs="Arial"/>
      <w:color w:val="000000"/>
      <w:sz w:val="24"/>
    </w:rPr>
  </w:style>
  <w:style w:type="paragraph" w:styleId="Ttulo4">
    <w:name w:val="heading 4"/>
    <w:basedOn w:val="Normal"/>
    <w:next w:val="Normal"/>
    <w:link w:val="Ttulo4Car"/>
    <w:uiPriority w:val="9"/>
    <w:semiHidden/>
    <w:unhideWhenUsed/>
    <w:qFormat/>
    <w:rsid w:val="002D39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4">
    <w:name w:val="Sangría 2 de t. independiente4"/>
    <w:basedOn w:val="Normal"/>
    <w:rsid w:val="00C463E9"/>
    <w:pPr>
      <w:suppressAutoHyphens/>
      <w:spacing w:after="0" w:line="240" w:lineRule="auto"/>
      <w:ind w:left="720" w:right="0" w:firstLine="0"/>
      <w:textAlignment w:val="baseline"/>
    </w:pPr>
    <w:rPr>
      <w:rFonts w:ascii="Courier New" w:eastAsia="Times New Roman" w:hAnsi="Courier New" w:cs="Courier New"/>
      <w:color w:val="auto"/>
      <w:kern w:val="1"/>
      <w:sz w:val="20"/>
      <w:szCs w:val="20"/>
      <w:lang w:val="es-CR" w:eastAsia="ar-SA"/>
    </w:rPr>
  </w:style>
  <w:style w:type="paragraph" w:styleId="Encabezado">
    <w:name w:val="header"/>
    <w:basedOn w:val="Normal"/>
    <w:link w:val="EncabezadoCar"/>
    <w:uiPriority w:val="99"/>
    <w:unhideWhenUsed/>
    <w:rsid w:val="00C46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3E9"/>
    <w:rPr>
      <w:rFonts w:ascii="Arial" w:eastAsia="Arial" w:hAnsi="Arial" w:cs="Arial"/>
      <w:color w:val="000000"/>
      <w:sz w:val="24"/>
    </w:rPr>
  </w:style>
  <w:style w:type="paragraph" w:styleId="Piedepgina">
    <w:name w:val="footer"/>
    <w:basedOn w:val="Normal"/>
    <w:link w:val="PiedepginaCar"/>
    <w:uiPriority w:val="99"/>
    <w:unhideWhenUsed/>
    <w:rsid w:val="00C46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3E9"/>
    <w:rPr>
      <w:rFonts w:ascii="Arial" w:eastAsia="Arial" w:hAnsi="Arial" w:cs="Arial"/>
      <w:color w:val="000000"/>
      <w:sz w:val="24"/>
    </w:rPr>
  </w:style>
  <w:style w:type="paragraph" w:customStyle="1" w:styleId="Prrafodelista1">
    <w:name w:val="Párrafo de lista1"/>
    <w:basedOn w:val="Normal"/>
    <w:link w:val="Prrafodelista1Car"/>
    <w:rsid w:val="00E57E85"/>
    <w:pPr>
      <w:suppressAutoHyphens/>
      <w:spacing w:after="200" w:line="276" w:lineRule="auto"/>
      <w:ind w:left="720" w:right="0" w:firstLine="0"/>
      <w:jc w:val="left"/>
    </w:pPr>
    <w:rPr>
      <w:rFonts w:ascii="Calibri" w:eastAsia="SimSun" w:hAnsi="Calibri" w:cs="font501"/>
      <w:color w:val="auto"/>
      <w:kern w:val="1"/>
      <w:sz w:val="22"/>
      <w:lang w:val="es-CR" w:eastAsia="ar-SA"/>
    </w:rPr>
  </w:style>
  <w:style w:type="character" w:customStyle="1" w:styleId="Prrafodelista1Car">
    <w:name w:val="Párrafo de lista1 Car"/>
    <w:link w:val="Prrafodelista1"/>
    <w:rsid w:val="00E57E85"/>
    <w:rPr>
      <w:rFonts w:ascii="Calibri" w:eastAsia="SimSun" w:hAnsi="Calibri" w:cs="font501"/>
      <w:kern w:val="1"/>
      <w:lang w:val="es-CR" w:eastAsia="ar-SA"/>
    </w:rPr>
  </w:style>
  <w:style w:type="paragraph" w:customStyle="1" w:styleId="Default">
    <w:name w:val="Default"/>
    <w:rsid w:val="000D2120"/>
    <w:pPr>
      <w:autoSpaceDE w:val="0"/>
      <w:autoSpaceDN w:val="0"/>
      <w:adjustRightInd w:val="0"/>
      <w:spacing w:after="0" w:line="240" w:lineRule="auto"/>
    </w:pPr>
    <w:rPr>
      <w:rFonts w:ascii="Arial" w:hAnsi="Arial" w:cs="Arial"/>
      <w:color w:val="000000"/>
      <w:sz w:val="24"/>
      <w:szCs w:val="24"/>
      <w:lang w:val="es-CR"/>
    </w:rPr>
  </w:style>
  <w:style w:type="character" w:customStyle="1" w:styleId="Ttulo4Car">
    <w:name w:val="Título 4 Car"/>
    <w:basedOn w:val="Fuentedeprrafopredeter"/>
    <w:link w:val="Ttulo4"/>
    <w:uiPriority w:val="9"/>
    <w:semiHidden/>
    <w:rsid w:val="002D395D"/>
    <w:rPr>
      <w:rFonts w:asciiTheme="majorHAnsi" w:eastAsiaTheme="majorEastAsia" w:hAnsiTheme="majorHAnsi" w:cstheme="majorBidi"/>
      <w:i/>
      <w:iCs/>
      <w:color w:val="2F5496" w:themeColor="accent1" w:themeShade="BF"/>
      <w:sz w:val="24"/>
    </w:rPr>
  </w:style>
  <w:style w:type="paragraph" w:customStyle="1" w:styleId="Standard">
    <w:name w:val="Standard"/>
    <w:link w:val="StandardCar"/>
    <w:rsid w:val="002D395D"/>
    <w:pPr>
      <w:suppressAutoHyphens/>
      <w:spacing w:after="0" w:line="240" w:lineRule="auto"/>
      <w:textAlignment w:val="baseline"/>
    </w:pPr>
    <w:rPr>
      <w:rFonts w:ascii="Times New Roman" w:eastAsia="Times New Roman" w:hAnsi="Times New Roman" w:cs="Times New Roman"/>
      <w:kern w:val="1"/>
      <w:sz w:val="20"/>
      <w:szCs w:val="20"/>
      <w:lang w:val="es-CR" w:eastAsia="ar-SA"/>
    </w:rPr>
  </w:style>
  <w:style w:type="character" w:customStyle="1" w:styleId="StandardCar">
    <w:name w:val="Standard Car"/>
    <w:link w:val="Standard"/>
    <w:rsid w:val="002D395D"/>
    <w:rPr>
      <w:rFonts w:ascii="Times New Roman" w:eastAsia="Times New Roman" w:hAnsi="Times New Roman" w:cs="Times New Roman"/>
      <w:kern w:val="1"/>
      <w:sz w:val="20"/>
      <w:szCs w:val="20"/>
      <w:lang w:val="es-C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64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20C3B2D573F345A6D4940144AE1DBE" ma:contentTypeVersion="2" ma:contentTypeDescription="Crear nuevo documento." ma:contentTypeScope="" ma:versionID="0de0b30cebb334a1e44ecd89db6cd7b3">
  <xsd:schema xmlns:xsd="http://www.w3.org/2001/XMLSchema" xmlns:xs="http://www.w3.org/2001/XMLSchema" xmlns:p="http://schemas.microsoft.com/office/2006/metadata/properties" xmlns:ns2="e68a7591-65f0-4645-b342-0e87a91376d5" targetNamespace="http://schemas.microsoft.com/office/2006/metadata/properties" ma:root="true" ma:fieldsID="07c0176bc87653e367986c12c296f2b6" ns2:_="">
    <xsd:import namespace="e68a7591-65f0-4645-b342-0e87a91376d5"/>
    <xsd:element name="properties">
      <xsd:complexType>
        <xsd:sequence>
          <xsd:element name="documentManagement">
            <xsd:complexType>
              <xsd:all>
                <xsd:element ref="ns2:Descarg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a7591-65f0-4645-b342-0e87a91376d5" elementFormDefault="qualified">
    <xsd:import namespace="http://schemas.microsoft.com/office/2006/documentManagement/types"/>
    <xsd:import namespace="http://schemas.microsoft.com/office/infopath/2007/PartnerControls"/>
    <xsd:element name="Descargar" ma:index="8" nillable="true" ma:displayName="Descargar" ma:default="&amp;lt;a class-&amp;quot;ms-listlink ms-draggable&amp;quot; onclick-&amp;quot;return DispEx(this,event,&amp;#39;TRUE&amp;#39;,&amp;#39;FALSE&amp;#39;,&amp;#39;FALSE&amp;#39;,&amp;#39;SharePoint.OpenDocuments.3&amp;#39;,&amp;#39;1&amp;#39;1&amp;#39;1&amp;#39;1&amp;#39;1&amp;#39;1&amp;#39;1&amp;#39;1&amp;#39;,&amp;#39;SharePoint.OpenDocuments&amp;#39;,&amp;#39;&amp;#39;&amp;#39;&amp;#39;&amp;#39;&amp;#39;,&amp;#39;&amp;#39;&amp;#39;,&amp;#39;&amp;#39;1&amp;#39;,&amp;#39;0&amp;#39;,&amp;#39;0&amp;#39;,&amp;#39;0x7fffffffffff&amp;#39;)&amp;quot; href&amp;#39;&amp;quot;[%Elemento actual: URL relativa del servidor%]&amp;quot; DragId&amp;quot;&amp;quot;7&amp;quot;&amp;gt;Prueba&amp;lt;/a&amp;gt;" ma:description="" ma:internalName="Descarga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argar xmlns="e68a7591-65f0-4645-b342-0e87a91376d5">&lt;a class="ms-listlink ms-draggable" target="_blank" href="/transparenciaInst/_layouts/download.aspx?SourceUrl=https%3a//www.aya.go.cr/transparenciaInst/rendicion_cuentas/InforEspAuditoria/Informes%202019/AU-2019-00563.docx"&gt;
&lt;img unselectable="on" alt="" src="/transparenciaInst/datos_abiertos/Activos%20del%20Sitio/descargar.png" style="top:0px;left:-320px" /&gt;&lt;/a&gt;</Descargar>
  </documentManagement>
</p:properties>
</file>

<file path=customXml/itemProps1.xml><?xml version="1.0" encoding="utf-8"?>
<ds:datastoreItem xmlns:ds="http://schemas.openxmlformats.org/officeDocument/2006/customXml" ds:itemID="{40F889C4-0231-4A42-BF6E-9D12D438BA7F}"/>
</file>

<file path=customXml/itemProps2.xml><?xml version="1.0" encoding="utf-8"?>
<ds:datastoreItem xmlns:ds="http://schemas.openxmlformats.org/officeDocument/2006/customXml" ds:itemID="{449F12B7-FCBA-4D34-956A-5061AD6DC13D}"/>
</file>

<file path=customXml/itemProps3.xml><?xml version="1.0" encoding="utf-8"?>
<ds:datastoreItem xmlns:ds="http://schemas.openxmlformats.org/officeDocument/2006/customXml" ds:itemID="{F6D4B8A7-1F70-47AB-8C49-945E822B348B}"/>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4922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AU-2019-00163</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AU-2019-00563</dc:title>
  <dc:subject/>
  <dc:creator>Nancy Gonzalez Carrillo</dc:creator>
  <cp:keywords/>
  <cp:lastModifiedBy>Nancy Gonzalez Carrillo</cp:lastModifiedBy>
  <cp:revision>2</cp:revision>
  <cp:lastPrinted>2019-02-22T21:55:00Z</cp:lastPrinted>
  <dcterms:created xsi:type="dcterms:W3CDTF">2019-10-25T20:10:00Z</dcterms:created>
  <dcterms:modified xsi:type="dcterms:W3CDTF">2019-10-25T20:10:00Z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0x010100C020C3B2D573F345A6D4940144AE1DBE</vt:lpwstr>
  </property>
  <property fmtid="{D5CDD505-2E9C-101B-9397-08002B2CF9AE}" pid="3" name="WorkflowChangePath">
    <vt:lpwstr>8e6a93d3-fd67-4b2b-9c83-4e67faf5ff90,2;0db8ce61-d9f4-4a02-83e9-d79846e59b90,3;</vt:lpwstr>
  </property>
</Properties>
</file>